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522"/>
        <w:gridCol w:w="177"/>
        <w:gridCol w:w="2346"/>
        <w:gridCol w:w="117"/>
        <w:gridCol w:w="1232"/>
        <w:gridCol w:w="1232"/>
        <w:gridCol w:w="2464"/>
      </w:tblGrid>
      <w:tr w:rsidR="004C5569" w:rsidRPr="00015F4D" w14:paraId="2A49232B" w14:textId="77777777" w:rsidTr="0006149F">
        <w:trPr>
          <w:trHeight w:val="851"/>
        </w:trPr>
        <w:tc>
          <w:tcPr>
            <w:tcW w:w="10090" w:type="dxa"/>
            <w:gridSpan w:val="7"/>
            <w:shd w:val="clear" w:color="auto" w:fill="D9D9D9" w:themeFill="background1" w:themeFillShade="D9"/>
            <w:vAlign w:val="center"/>
          </w:tcPr>
          <w:p w14:paraId="2837A87A" w14:textId="77777777" w:rsidR="004C5569" w:rsidRPr="00015F4D" w:rsidRDefault="004C5569" w:rsidP="0006149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7A470BE3" w14:textId="77777777" w:rsidR="004C5569" w:rsidRDefault="004C5569" w:rsidP="0006149F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>he qu</w:t>
            </w:r>
            <w:r>
              <w:rPr>
                <w:i/>
                <w:sz w:val="20"/>
                <w:szCs w:val="20"/>
              </w:rPr>
              <w:t>oted fee shall be all-inclusive, with the exception of the reimbursable costs below. Therefore, please note that the following costs are included:</w:t>
            </w:r>
          </w:p>
          <w:p w14:paraId="129FECD1" w14:textId="77777777" w:rsidR="004C5569" w:rsidRDefault="004C5569" w:rsidP="0006149F">
            <w:pPr>
              <w:pStyle w:val="ListParagraph"/>
              <w:numPr>
                <w:ilvl w:val="1"/>
                <w:numId w:val="12"/>
              </w:numPr>
              <w:rPr>
                <w:i/>
                <w:sz w:val="20"/>
                <w:szCs w:val="20"/>
              </w:rPr>
            </w:pPr>
            <w:r w:rsidRPr="00BA2749">
              <w:rPr>
                <w:i/>
                <w:sz w:val="20"/>
                <w:szCs w:val="20"/>
              </w:rPr>
              <w:t>all taxes and costs</w:t>
            </w:r>
            <w:r>
              <w:rPr>
                <w:i/>
                <w:sz w:val="20"/>
                <w:szCs w:val="20"/>
              </w:rPr>
              <w:t xml:space="preserve"> related to the employment of the Expert</w:t>
            </w:r>
          </w:p>
          <w:p w14:paraId="1C4CD064" w14:textId="2718B1CA" w:rsidR="004C5569" w:rsidRDefault="004C5569" w:rsidP="0006149F">
            <w:pPr>
              <w:pStyle w:val="ListParagraph"/>
              <w:numPr>
                <w:ilvl w:val="1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travel </w:t>
            </w:r>
            <w:r w:rsidRPr="00D03415">
              <w:rPr>
                <w:i/>
                <w:sz w:val="20"/>
                <w:szCs w:val="20"/>
              </w:rPr>
              <w:t xml:space="preserve">costs for entering Vietnam at the start of the </w:t>
            </w:r>
            <w:r>
              <w:rPr>
                <w:i/>
                <w:sz w:val="20"/>
                <w:szCs w:val="20"/>
              </w:rPr>
              <w:t>contract</w:t>
            </w:r>
            <w:r w:rsidRPr="00D03415">
              <w:rPr>
                <w:i/>
                <w:sz w:val="20"/>
                <w:szCs w:val="20"/>
              </w:rPr>
              <w:t xml:space="preserve"> and for leaving Vietnam at the end of the contrac</w:t>
            </w:r>
            <w:r>
              <w:rPr>
                <w:i/>
                <w:sz w:val="20"/>
                <w:szCs w:val="20"/>
              </w:rPr>
              <w:t>t</w:t>
            </w:r>
          </w:p>
          <w:p w14:paraId="79694BC6" w14:textId="0F2D06DF" w:rsidR="00A37EF5" w:rsidRPr="00D03415" w:rsidRDefault="00A37EF5" w:rsidP="0006149F">
            <w:pPr>
              <w:pStyle w:val="ListParagraph"/>
              <w:numPr>
                <w:ilvl w:val="1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office rental and operational costs</w:t>
            </w:r>
          </w:p>
          <w:p w14:paraId="49E34439" w14:textId="3D6300BF" w:rsidR="004C5569" w:rsidRDefault="004C5569" w:rsidP="0006149F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</w:t>
            </w:r>
            <w:r w:rsidRPr="00FB1981">
              <w:rPr>
                <w:i/>
                <w:sz w:val="20"/>
                <w:szCs w:val="20"/>
              </w:rPr>
              <w:t xml:space="preserve">note that </w:t>
            </w:r>
            <w:r>
              <w:rPr>
                <w:i/>
                <w:sz w:val="20"/>
                <w:szCs w:val="20"/>
              </w:rPr>
              <w:t xml:space="preserve">EFI will </w:t>
            </w:r>
            <w:r w:rsidRPr="00B51B75">
              <w:rPr>
                <w:i/>
                <w:sz w:val="20"/>
                <w:szCs w:val="20"/>
              </w:rPr>
              <w:t>make available funds (in the form of reimbursable costs and per diem) as specified in an approved work plan budget for the Contractor to implement the work plan</w:t>
            </w:r>
            <w:r w:rsidRPr="00FB1981">
              <w:rPr>
                <w:i/>
                <w:sz w:val="20"/>
                <w:szCs w:val="20"/>
              </w:rPr>
              <w:t>, as stated in the Terms of Referenc</w:t>
            </w:r>
            <w:r w:rsidR="00130551">
              <w:rPr>
                <w:i/>
                <w:sz w:val="20"/>
                <w:szCs w:val="20"/>
              </w:rPr>
              <w:t xml:space="preserve">e in the Tender Specifications </w:t>
            </w:r>
            <w:r w:rsidRPr="00FB1981">
              <w:rPr>
                <w:i/>
                <w:sz w:val="20"/>
                <w:szCs w:val="20"/>
              </w:rPr>
              <w:t xml:space="preserve">, as further specified in </w:t>
            </w:r>
            <w:r>
              <w:rPr>
                <w:i/>
                <w:sz w:val="20"/>
                <w:szCs w:val="20"/>
              </w:rPr>
              <w:t xml:space="preserve">article </w:t>
            </w:r>
            <w:r w:rsidR="008E6F69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 xml:space="preserve"> of the draft </w:t>
            </w:r>
            <w:r w:rsidRPr="008235C4">
              <w:rPr>
                <w:i/>
                <w:sz w:val="20"/>
                <w:szCs w:val="20"/>
              </w:rPr>
              <w:t>contract (Annex 8).</w:t>
            </w:r>
            <w:r>
              <w:rPr>
                <w:sz w:val="20"/>
                <w:szCs w:val="20"/>
              </w:rPr>
              <w:t xml:space="preserve"> </w:t>
            </w:r>
          </w:p>
          <w:p w14:paraId="2EBD2BE1" w14:textId="77777777" w:rsidR="004C5569" w:rsidRPr="00AB1BA8" w:rsidRDefault="004C5569" w:rsidP="0006149F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4C5569" w:rsidRPr="00015F4D" w14:paraId="61D2C20D" w14:textId="77777777" w:rsidTr="0006149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52D6E696" w14:textId="77777777" w:rsidR="004C5569" w:rsidRPr="00015F4D" w:rsidRDefault="004C5569" w:rsidP="0006149F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58EAA7" w14:textId="77777777" w:rsidR="004C5569" w:rsidRPr="00015F4D" w:rsidRDefault="004C5569" w:rsidP="000614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Monthly r</w:t>
            </w:r>
            <w:r w:rsidRPr="00015F4D">
              <w:rPr>
                <w:b/>
                <w:sz w:val="20"/>
                <w:szCs w:val="20"/>
              </w:rPr>
              <w:t>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032EBA33" w14:textId="77777777" w:rsidR="004C5569" w:rsidRPr="00015F4D" w:rsidRDefault="004C5569" w:rsidP="0006149F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32A9EC7A" w14:textId="77777777" w:rsidR="004C5569" w:rsidRPr="00015F4D" w:rsidRDefault="004C5569" w:rsidP="0006149F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3BE1D5C5" w14:textId="77777777" w:rsidR="004C5569" w:rsidRPr="00015F4D" w:rsidRDefault="004C5569" w:rsidP="0006149F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4C5569" w:rsidRPr="00015F4D" w14:paraId="62D92600" w14:textId="77777777" w:rsidTr="000614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6D6B649B" w14:textId="77777777" w:rsidR="004C5569" w:rsidRPr="00015F4D" w:rsidRDefault="004C5569" w:rsidP="0006149F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4BFF8020" w14:textId="77777777" w:rsidR="004C5569" w:rsidRPr="00015F4D" w:rsidRDefault="004C5569" w:rsidP="00061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23E3222B" w14:textId="29908832" w:rsidR="004C5569" w:rsidRPr="00015F4D" w:rsidRDefault="00130551" w:rsidP="0006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5BA29D97" w14:textId="77777777" w:rsidR="004C5569" w:rsidRPr="00015F4D" w:rsidRDefault="004C5569" w:rsidP="0006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months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08849F1F" w14:textId="77777777" w:rsidR="004C5569" w:rsidRPr="00015F4D" w:rsidRDefault="004C5569" w:rsidP="0006149F">
            <w:pPr>
              <w:jc w:val="center"/>
              <w:rPr>
                <w:sz w:val="20"/>
                <w:szCs w:val="20"/>
              </w:rPr>
            </w:pPr>
          </w:p>
        </w:tc>
      </w:tr>
      <w:tr w:rsidR="004C5569" w:rsidRPr="00015F4D" w14:paraId="5EB45A12" w14:textId="77777777" w:rsidTr="0006149F">
        <w:trPr>
          <w:trHeight w:val="851"/>
        </w:trPr>
        <w:tc>
          <w:tcPr>
            <w:tcW w:w="7626" w:type="dxa"/>
            <w:gridSpan w:val="6"/>
            <w:shd w:val="clear" w:color="auto" w:fill="F2F2F2" w:themeFill="background1" w:themeFillShade="F2"/>
            <w:vAlign w:val="center"/>
          </w:tcPr>
          <w:p w14:paraId="3F93C19D" w14:textId="77777777" w:rsidR="004C5569" w:rsidRPr="00015F4D" w:rsidRDefault="004C5569" w:rsidP="0006149F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277884B" w14:textId="77777777" w:rsidR="004C5569" w:rsidRPr="00015F4D" w:rsidRDefault="004C5569" w:rsidP="0006149F">
            <w:pPr>
              <w:jc w:val="center"/>
              <w:rPr>
                <w:sz w:val="20"/>
                <w:szCs w:val="20"/>
              </w:rPr>
            </w:pPr>
          </w:p>
        </w:tc>
      </w:tr>
      <w:tr w:rsidR="00A37EF5" w:rsidRPr="00015F4D" w14:paraId="643BD1FE" w14:textId="77777777" w:rsidTr="0013203B">
        <w:trPr>
          <w:trHeight w:val="851"/>
        </w:trPr>
        <w:tc>
          <w:tcPr>
            <w:tcW w:w="10090" w:type="dxa"/>
            <w:gridSpan w:val="7"/>
            <w:shd w:val="clear" w:color="auto" w:fill="D9D9D9" w:themeFill="background1" w:themeFillShade="D9"/>
          </w:tcPr>
          <w:p w14:paraId="5544F14E" w14:textId="77777777" w:rsidR="00A37EF5" w:rsidRPr="001F60AA" w:rsidRDefault="00A37EF5" w:rsidP="00A37EF5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F60AA">
              <w:rPr>
                <w:b/>
                <w:sz w:val="20"/>
                <w:szCs w:val="20"/>
              </w:rPr>
              <w:t>PER DIEM</w:t>
            </w:r>
          </w:p>
          <w:p w14:paraId="50EA0EC8" w14:textId="77777777" w:rsidR="00A37EF5" w:rsidRPr="001F60AA" w:rsidRDefault="00A37EF5" w:rsidP="00A37EF5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1F60AA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3E45F981" w14:textId="77777777" w:rsidR="00A37EF5" w:rsidRPr="001F60AA" w:rsidRDefault="00A37EF5" w:rsidP="00A37EF5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1F60AA">
              <w:rPr>
                <w:i/>
                <w:sz w:val="20"/>
                <w:szCs w:val="20"/>
              </w:rPr>
              <w:t>per diem includes</w:t>
            </w:r>
            <w:r w:rsidRPr="001F60AA">
              <w:rPr>
                <w:b/>
                <w:i/>
                <w:sz w:val="20"/>
                <w:szCs w:val="20"/>
              </w:rPr>
              <w:t xml:space="preserve"> </w:t>
            </w:r>
            <w:r w:rsidRPr="001F60AA">
              <w:rPr>
                <w:i/>
                <w:sz w:val="20"/>
                <w:szCs w:val="20"/>
              </w:rPr>
              <w:t xml:space="preserve">accommodation, meals, local travel (including, but not limited to, travel to and from airports and sundry expenses) </w:t>
            </w:r>
          </w:p>
          <w:p w14:paraId="1D81A474" w14:textId="77777777" w:rsidR="00A37EF5" w:rsidRPr="001F60AA" w:rsidRDefault="00A37EF5" w:rsidP="00A37EF5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1F60AA">
              <w:rPr>
                <w:i/>
                <w:sz w:val="20"/>
                <w:szCs w:val="20"/>
              </w:rPr>
              <w:t>full general conditions applicable to the payment of per diem can be found in Annex 8</w:t>
            </w:r>
          </w:p>
          <w:p w14:paraId="118EC0C6" w14:textId="77777777" w:rsidR="00A37EF5" w:rsidRPr="001F60AA" w:rsidRDefault="00A37EF5" w:rsidP="00A37EF5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1F60AA">
              <w:rPr>
                <w:i/>
                <w:sz w:val="20"/>
                <w:szCs w:val="20"/>
              </w:rPr>
              <w:t>lines may be added as needed</w:t>
            </w:r>
          </w:p>
          <w:p w14:paraId="42A58DC0" w14:textId="7CF945C1" w:rsidR="00A37EF5" w:rsidRPr="00015F4D" w:rsidRDefault="00A37EF5" w:rsidP="00A37EF5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A37EF5" w:rsidRPr="00015F4D" w14:paraId="0AB6B433" w14:textId="64477FB7" w:rsidTr="00C625B1">
        <w:trPr>
          <w:trHeight w:val="851"/>
        </w:trPr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1F188518" w14:textId="610A276A" w:rsidR="00A37EF5" w:rsidRPr="00015F4D" w:rsidRDefault="00A37EF5" w:rsidP="00A37EF5">
            <w:pPr>
              <w:pStyle w:val="ListParagraph"/>
              <w:ind w:left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523" w:type="dxa"/>
            <w:gridSpan w:val="2"/>
            <w:shd w:val="clear" w:color="auto" w:fill="D9D9D9" w:themeFill="background1" w:themeFillShade="D9"/>
            <w:vAlign w:val="center"/>
          </w:tcPr>
          <w:p w14:paraId="25FB8964" w14:textId="0D877721" w:rsidR="00A37EF5" w:rsidRPr="00015F4D" w:rsidRDefault="00A37EF5" w:rsidP="00A37EF5">
            <w:pPr>
              <w:pStyle w:val="ListParagraph"/>
              <w:ind w:left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 rate (EUR)</w:t>
            </w:r>
          </w:p>
        </w:tc>
        <w:tc>
          <w:tcPr>
            <w:tcW w:w="2581" w:type="dxa"/>
            <w:gridSpan w:val="3"/>
            <w:shd w:val="clear" w:color="auto" w:fill="D9D9D9" w:themeFill="background1" w:themeFillShade="D9"/>
            <w:vAlign w:val="center"/>
          </w:tcPr>
          <w:p w14:paraId="3DD2891C" w14:textId="20F1EFFA" w:rsidR="00A37EF5" w:rsidRPr="00015F4D" w:rsidRDefault="00A37EF5" w:rsidP="00A37EF5">
            <w:pPr>
              <w:pStyle w:val="ListParagraph"/>
              <w:ind w:left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50E2D176" w14:textId="2E392340" w:rsidR="00A37EF5" w:rsidRPr="00015F4D" w:rsidRDefault="00A37EF5" w:rsidP="00A37EF5">
            <w:pPr>
              <w:pStyle w:val="ListParagraph"/>
              <w:ind w:left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 (EUR)</w:t>
            </w:r>
          </w:p>
        </w:tc>
      </w:tr>
      <w:tr w:rsidR="00A37EF5" w:rsidRPr="00015F4D" w14:paraId="78F188AD" w14:textId="000CF41C" w:rsidTr="00C625B1">
        <w:trPr>
          <w:trHeight w:val="851"/>
        </w:trPr>
        <w:tc>
          <w:tcPr>
            <w:tcW w:w="2522" w:type="dxa"/>
            <w:shd w:val="clear" w:color="auto" w:fill="DBE5F1" w:themeFill="accent1" w:themeFillTint="33"/>
          </w:tcPr>
          <w:p w14:paraId="09616878" w14:textId="18FC019A" w:rsidR="00A37EF5" w:rsidRDefault="00A37EF5" w:rsidP="0006149F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shd w:val="clear" w:color="auto" w:fill="DBE5F1" w:themeFill="accent1" w:themeFillTint="33"/>
          </w:tcPr>
          <w:p w14:paraId="0BFD79B1" w14:textId="77777777" w:rsidR="00A37EF5" w:rsidRDefault="00A37EF5" w:rsidP="0006149F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shd w:val="clear" w:color="auto" w:fill="DBE5F1" w:themeFill="accent1" w:themeFillTint="33"/>
          </w:tcPr>
          <w:p w14:paraId="16323287" w14:textId="77777777" w:rsidR="00A37EF5" w:rsidRDefault="00A37EF5" w:rsidP="0006149F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</w:tcPr>
          <w:p w14:paraId="1EC92128" w14:textId="77777777" w:rsidR="00A37EF5" w:rsidRDefault="00A37EF5" w:rsidP="0006149F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C625B1" w:rsidRPr="00015F4D" w14:paraId="43CA35A8" w14:textId="77777777" w:rsidTr="00C625B1">
        <w:trPr>
          <w:trHeight w:val="851"/>
        </w:trPr>
        <w:tc>
          <w:tcPr>
            <w:tcW w:w="2522" w:type="dxa"/>
            <w:shd w:val="clear" w:color="auto" w:fill="DBE5F1" w:themeFill="accent1" w:themeFillTint="33"/>
          </w:tcPr>
          <w:p w14:paraId="044B23C2" w14:textId="77777777" w:rsidR="00C625B1" w:rsidRDefault="00C625B1" w:rsidP="0006149F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shd w:val="clear" w:color="auto" w:fill="DBE5F1" w:themeFill="accent1" w:themeFillTint="33"/>
          </w:tcPr>
          <w:p w14:paraId="51A7748F" w14:textId="77777777" w:rsidR="00C625B1" w:rsidRDefault="00C625B1" w:rsidP="0006149F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shd w:val="clear" w:color="auto" w:fill="DBE5F1" w:themeFill="accent1" w:themeFillTint="33"/>
          </w:tcPr>
          <w:p w14:paraId="202F7CCD" w14:textId="77777777" w:rsidR="00C625B1" w:rsidRDefault="00C625B1" w:rsidP="0006149F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</w:tcPr>
          <w:p w14:paraId="58D378B2" w14:textId="77777777" w:rsidR="00C625B1" w:rsidRDefault="00C625B1" w:rsidP="0006149F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A37EF5" w:rsidRPr="00015F4D" w14:paraId="07E7929C" w14:textId="79325411" w:rsidTr="00C625B1">
        <w:trPr>
          <w:trHeight w:val="851"/>
        </w:trPr>
        <w:tc>
          <w:tcPr>
            <w:tcW w:w="7626" w:type="dxa"/>
            <w:gridSpan w:val="6"/>
            <w:shd w:val="clear" w:color="auto" w:fill="F2F2F2" w:themeFill="background1" w:themeFillShade="F2"/>
          </w:tcPr>
          <w:p w14:paraId="63B3E867" w14:textId="2D20CE6F" w:rsidR="00A37EF5" w:rsidRDefault="00A37EF5" w:rsidP="0006149F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5E9C3C95" w14:textId="5BC67EFF" w:rsidR="00A37EF5" w:rsidRPr="00A37EF5" w:rsidRDefault="00A37EF5" w:rsidP="00C625B1">
            <w:pPr>
              <w:tabs>
                <w:tab w:val="left" w:pos="4620"/>
              </w:tabs>
              <w:jc w:val="right"/>
            </w:pPr>
            <w:r>
              <w:tab/>
            </w:r>
            <w:r w:rsidR="00C625B1" w:rsidRPr="00015F4D">
              <w:rPr>
                <w:b/>
                <w:sz w:val="20"/>
                <w:szCs w:val="20"/>
              </w:rPr>
              <w:t>Total per diems (EUR)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14:paraId="1ACFF854" w14:textId="77777777" w:rsidR="00A37EF5" w:rsidRDefault="00A37EF5" w:rsidP="0006149F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1F60AA" w:rsidRPr="00015F4D" w14:paraId="3439DFE7" w14:textId="77777777" w:rsidTr="001F60AA">
        <w:trPr>
          <w:trHeight w:val="1124"/>
        </w:trPr>
        <w:tc>
          <w:tcPr>
            <w:tcW w:w="10090" w:type="dxa"/>
            <w:gridSpan w:val="7"/>
            <w:shd w:val="clear" w:color="auto" w:fill="D9D9D9" w:themeFill="background1" w:themeFillShade="D9"/>
            <w:vAlign w:val="center"/>
          </w:tcPr>
          <w:p w14:paraId="4BA227CC" w14:textId="77777777" w:rsidR="001F60AA" w:rsidRPr="00015F4D" w:rsidRDefault="001F60AA" w:rsidP="0006149F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26DDAB8E" w14:textId="77777777" w:rsidR="001F60AA" w:rsidRPr="00015F4D" w:rsidRDefault="001F60AA" w:rsidP="0006149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</w:p>
          <w:p w14:paraId="210B3663" w14:textId="77777777" w:rsidR="001F60AA" w:rsidRPr="00B51B75" w:rsidRDefault="001F60AA" w:rsidP="0006149F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you </w:t>
            </w:r>
            <w:r w:rsidRPr="007B55DD">
              <w:rPr>
                <w:i/>
                <w:sz w:val="20"/>
                <w:szCs w:val="20"/>
                <w:u w:val="single"/>
              </w:rPr>
              <w:t>may not</w:t>
            </w:r>
            <w:r>
              <w:rPr>
                <w:i/>
                <w:sz w:val="20"/>
                <w:szCs w:val="20"/>
              </w:rPr>
              <w:t xml:space="preserve"> state cost of equipment </w:t>
            </w:r>
          </w:p>
          <w:p w14:paraId="46323899" w14:textId="77777777" w:rsidR="001F60AA" w:rsidRPr="009905F4" w:rsidRDefault="001F60AA" w:rsidP="0006149F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 xml:space="preserve">full general conditions applicable to the reimbursement of costs </w:t>
            </w:r>
            <w:r w:rsidRPr="008235C4">
              <w:rPr>
                <w:i/>
                <w:sz w:val="20"/>
                <w:szCs w:val="20"/>
              </w:rPr>
              <w:t>can be found in Annex 8</w:t>
            </w:r>
          </w:p>
          <w:p w14:paraId="343D718C" w14:textId="534E0C31" w:rsidR="001F60AA" w:rsidRPr="00015F4D" w:rsidRDefault="001F60AA" w:rsidP="001F60AA">
            <w:pPr>
              <w:rPr>
                <w:b/>
                <w:sz w:val="20"/>
                <w:szCs w:val="20"/>
              </w:rPr>
            </w:pPr>
          </w:p>
        </w:tc>
      </w:tr>
      <w:tr w:rsidR="001F60AA" w:rsidRPr="00015F4D" w14:paraId="7126627B" w14:textId="77777777" w:rsidTr="0006149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51F3A39E" w14:textId="6DE023D5" w:rsidR="001F60AA" w:rsidRPr="00015F4D" w:rsidRDefault="001F60AA" w:rsidP="001F60AA">
            <w:pPr>
              <w:pStyle w:val="ListParagraph"/>
              <w:ind w:left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0AD8BD31" w14:textId="54854774" w:rsidR="001F60AA" w:rsidRPr="00015F4D" w:rsidRDefault="001F60AA" w:rsidP="001F60AA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>
              <w:rPr>
                <w:b/>
                <w:sz w:val="20"/>
                <w:szCs w:val="20"/>
              </w:rPr>
              <w:br/>
            </w:r>
            <w:r w:rsidRPr="00015F4D">
              <w:rPr>
                <w:b/>
                <w:sz w:val="20"/>
                <w:szCs w:val="20"/>
              </w:rPr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37DEBDA5" w14:textId="2C7A6728" w:rsidR="001F60AA" w:rsidRPr="00015F4D" w:rsidRDefault="001F60AA" w:rsidP="001F60AA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  <w:r>
              <w:rPr>
                <w:b/>
                <w:sz w:val="20"/>
                <w:szCs w:val="20"/>
              </w:rPr>
              <w:br/>
            </w:r>
            <w:r w:rsidRPr="00015F4D">
              <w:rPr>
                <w:b/>
                <w:sz w:val="20"/>
                <w:szCs w:val="20"/>
              </w:rPr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771E294C" w14:textId="13888ABB" w:rsidR="001F60AA" w:rsidRPr="00015F4D" w:rsidRDefault="001F60AA" w:rsidP="001F60AA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5EAC313F" w14:textId="77777777" w:rsidR="001F60AA" w:rsidRPr="00015F4D" w:rsidRDefault="001F60AA" w:rsidP="001F60AA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5B2337F4" w14:textId="0EEA2E22" w:rsidR="001F60AA" w:rsidRPr="00015F4D" w:rsidRDefault="001F60AA" w:rsidP="001F60AA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1F60AA" w:rsidRPr="00015F4D" w14:paraId="28E87F05" w14:textId="77777777" w:rsidTr="001F60AA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2B4F64CE" w14:textId="34D9B53B" w:rsidR="001F60AA" w:rsidRPr="00015F4D" w:rsidRDefault="001F60AA" w:rsidP="001F60AA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FDAFC0B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2F03F73B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463065FB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49C515F7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</w:tr>
      <w:tr w:rsidR="001F60AA" w:rsidRPr="00015F4D" w14:paraId="7F473F85" w14:textId="77777777" w:rsidTr="000614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7A5DB7EF" w14:textId="77777777" w:rsidR="001F60AA" w:rsidRPr="00015F4D" w:rsidRDefault="001F60AA" w:rsidP="001F60AA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786632D9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03B9A5BF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04184E0F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377355F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</w:tr>
      <w:tr w:rsidR="001F60AA" w:rsidRPr="00015F4D" w14:paraId="4A0B4F1F" w14:textId="77777777" w:rsidTr="000614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6B5CD27E" w14:textId="77777777" w:rsidR="001F60AA" w:rsidRPr="00015F4D" w:rsidRDefault="001F60AA" w:rsidP="001F60AA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63040B4E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2D329FF4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0A2F2DB5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4EF938F8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</w:tr>
      <w:tr w:rsidR="001F60AA" w:rsidRPr="00015F4D" w14:paraId="103921F0" w14:textId="77777777" w:rsidTr="000614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2EE7279D" w14:textId="77777777" w:rsidR="001F60AA" w:rsidRPr="00015F4D" w:rsidRDefault="001F60AA" w:rsidP="001F60AA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74E77338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E3C2C98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587A9CC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089C437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</w:tr>
      <w:tr w:rsidR="001F60AA" w:rsidRPr="00015F4D" w14:paraId="4F6919D1" w14:textId="77777777" w:rsidTr="000614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7AD7B140" w14:textId="77777777" w:rsidR="001F60AA" w:rsidRPr="00015F4D" w:rsidRDefault="001F60AA" w:rsidP="001F60AA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3FB7E5E0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0CFAA582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06AC2B9F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6121981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</w:tr>
      <w:tr w:rsidR="001F60AA" w:rsidRPr="00015F4D" w14:paraId="4E514E7B" w14:textId="77777777" w:rsidTr="000614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0E104A5C" w14:textId="77777777" w:rsidR="001F60AA" w:rsidRPr="00015F4D" w:rsidRDefault="001F60AA" w:rsidP="001F60AA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22016053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29D90CC5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06CBB963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093B9F2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</w:tr>
      <w:tr w:rsidR="001F60AA" w:rsidRPr="00015F4D" w14:paraId="47ACE408" w14:textId="77777777" w:rsidTr="000614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203CAF29" w14:textId="77777777" w:rsidR="001F60AA" w:rsidRPr="00015F4D" w:rsidRDefault="001F60AA" w:rsidP="001F60AA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53186FA4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B7FC5CF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FD4913C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8D4682A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</w:tr>
      <w:tr w:rsidR="001F60AA" w:rsidRPr="00015F4D" w14:paraId="1988AD00" w14:textId="77777777" w:rsidTr="000614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4EB4D967" w14:textId="77777777" w:rsidR="001F60AA" w:rsidRPr="00015F4D" w:rsidRDefault="001F60AA" w:rsidP="001F60AA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0B051DBC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5E527C8D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D812376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E3A3177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</w:tr>
      <w:tr w:rsidR="001F60AA" w:rsidRPr="00015F4D" w14:paraId="0A357C86" w14:textId="77777777" w:rsidTr="000614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524E7E3F" w14:textId="77777777" w:rsidR="001F60AA" w:rsidRPr="00015F4D" w:rsidRDefault="001F60AA" w:rsidP="001F60AA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284E287B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5973B83F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47702041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3922F83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</w:tr>
      <w:tr w:rsidR="001F60AA" w:rsidRPr="00015F4D" w14:paraId="78A65DCE" w14:textId="77777777" w:rsidTr="00D9474F">
        <w:trPr>
          <w:trHeight w:val="851"/>
        </w:trPr>
        <w:tc>
          <w:tcPr>
            <w:tcW w:w="7626" w:type="dxa"/>
            <w:gridSpan w:val="6"/>
            <w:shd w:val="clear" w:color="auto" w:fill="DBE5F1" w:themeFill="accent1" w:themeFillTint="33"/>
            <w:vAlign w:val="center"/>
          </w:tcPr>
          <w:p w14:paraId="4AD52233" w14:textId="05B8F6B7" w:rsidR="001F60AA" w:rsidRPr="00015F4D" w:rsidRDefault="001F60AA" w:rsidP="001F60A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D8DEC12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</w:p>
        </w:tc>
      </w:tr>
      <w:tr w:rsidR="001F60AA" w:rsidRPr="00015F4D" w14:paraId="0AD88CFF" w14:textId="77777777" w:rsidTr="00D9474F">
        <w:trPr>
          <w:trHeight w:val="851"/>
        </w:trPr>
        <w:tc>
          <w:tcPr>
            <w:tcW w:w="10090" w:type="dxa"/>
            <w:gridSpan w:val="7"/>
            <w:shd w:val="clear" w:color="auto" w:fill="F2F2F2" w:themeFill="background1" w:themeFillShade="F2"/>
            <w:vAlign w:val="center"/>
          </w:tcPr>
          <w:p w14:paraId="589297DB" w14:textId="044CC523" w:rsidR="001F60AA" w:rsidRPr="005339F0" w:rsidRDefault="001F60AA" w:rsidP="001F60A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 (EUR)</w:t>
            </w:r>
          </w:p>
        </w:tc>
      </w:tr>
      <w:tr w:rsidR="001F60AA" w:rsidRPr="00015F4D" w14:paraId="6595DEBF" w14:textId="77777777" w:rsidTr="00D9474F">
        <w:trPr>
          <w:trHeight w:val="851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17D0E" w14:textId="77777777" w:rsidR="001F60AA" w:rsidRPr="00990DA8" w:rsidRDefault="001F60AA" w:rsidP="001F60AA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</w:p>
          <w:p w14:paraId="30A5BD59" w14:textId="39E75183" w:rsidR="001F60AA" w:rsidRPr="000D4342" w:rsidRDefault="001F60AA" w:rsidP="001F60AA">
            <w:pPr>
              <w:rPr>
                <w:b/>
                <w:sz w:val="20"/>
                <w:szCs w:val="20"/>
              </w:rPr>
            </w:pPr>
            <w:r w:rsidRPr="005339F0">
              <w:rPr>
                <w:i/>
                <w:sz w:val="20"/>
                <w:szCs w:val="20"/>
              </w:rPr>
              <w:t xml:space="preserve">The work plan and the </w:t>
            </w:r>
            <w:r>
              <w:rPr>
                <w:i/>
                <w:sz w:val="20"/>
                <w:szCs w:val="20"/>
              </w:rPr>
              <w:t xml:space="preserve">specified </w:t>
            </w:r>
            <w:r w:rsidRPr="005339F0">
              <w:rPr>
                <w:i/>
                <w:sz w:val="20"/>
                <w:szCs w:val="20"/>
              </w:rPr>
              <w:t>work plan budget</w:t>
            </w:r>
            <w:r>
              <w:rPr>
                <w:i/>
                <w:sz w:val="20"/>
                <w:szCs w:val="20"/>
              </w:rPr>
              <w:t xml:space="preserve"> are subject to approval by EFI as defined in the terms of reference.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615DC756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65B51D6F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70371A71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0CFE4934" w14:textId="77777777" w:rsidR="001F60AA" w:rsidRPr="00015F4D" w:rsidRDefault="001F60AA" w:rsidP="001F60AA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124B15F4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1F60AA" w:rsidRPr="00015F4D" w14:paraId="7450FB0B" w14:textId="77777777" w:rsidTr="00D9474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418F2C90" w14:textId="71F13427" w:rsidR="001F60AA" w:rsidRPr="00015F4D" w:rsidRDefault="001F60AA" w:rsidP="001F60AA">
            <w:pPr>
              <w:rPr>
                <w:sz w:val="20"/>
                <w:szCs w:val="20"/>
              </w:rPr>
            </w:pPr>
            <w:r w:rsidRPr="000D4342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F2F2F2" w:themeFill="background1" w:themeFillShade="F2"/>
            <w:vAlign w:val="center"/>
          </w:tcPr>
          <w:p w14:paraId="2CAD6EB9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47D83F4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2E3BEBD4" w14:textId="7777777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4BD2E2BB" w14:textId="6E610DD7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92,000</w:t>
            </w:r>
          </w:p>
        </w:tc>
      </w:tr>
      <w:tr w:rsidR="001F60AA" w:rsidRPr="00015F4D" w14:paraId="3D2AFFC9" w14:textId="77777777" w:rsidTr="00C629FF">
        <w:trPr>
          <w:trHeight w:val="851"/>
        </w:trPr>
        <w:tc>
          <w:tcPr>
            <w:tcW w:w="7626" w:type="dxa"/>
            <w:gridSpan w:val="6"/>
            <w:shd w:val="clear" w:color="auto" w:fill="F2F2F2" w:themeFill="background1" w:themeFillShade="F2"/>
            <w:vAlign w:val="center"/>
          </w:tcPr>
          <w:p w14:paraId="61BBD067" w14:textId="0CD74738" w:rsidR="001F60AA" w:rsidRPr="00015F4D" w:rsidRDefault="001F60AA" w:rsidP="001F60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work plan budget</w:t>
            </w:r>
            <w:r w:rsidRPr="00990DA8">
              <w:rPr>
                <w:i/>
                <w:sz w:val="20"/>
                <w:szCs w:val="20"/>
              </w:rPr>
              <w:t xml:space="preserve"> </w:t>
            </w:r>
            <w:r w:rsidRPr="00A37EF5">
              <w:rPr>
                <w:i/>
                <w:sz w:val="20"/>
                <w:szCs w:val="20"/>
              </w:rPr>
              <w:t xml:space="preserve">cover costs related for example to interpretation, translation, </w:t>
            </w:r>
            <w:r w:rsidRPr="00A37EF5">
              <w:rPr>
                <w:i/>
                <w:sz w:val="20"/>
                <w:szCs w:val="20"/>
              </w:rPr>
              <w:t>short-term</w:t>
            </w:r>
            <w:r w:rsidRPr="00A37EF5">
              <w:rPr>
                <w:i/>
                <w:sz w:val="20"/>
                <w:szCs w:val="20"/>
              </w:rPr>
              <w:t xml:space="preserve"> consultancies, domestic travel and costs of meetings.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7D36DF8C" w14:textId="1BB5A014" w:rsidR="001F60AA" w:rsidRPr="00015F4D" w:rsidRDefault="001F60AA" w:rsidP="001F6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92,000</w:t>
            </w:r>
          </w:p>
        </w:tc>
      </w:tr>
      <w:tr w:rsidR="001F60AA" w:rsidRPr="00015F4D" w14:paraId="75F942D7" w14:textId="77777777" w:rsidTr="0006149F">
        <w:trPr>
          <w:trHeight w:val="1300"/>
        </w:trPr>
        <w:tc>
          <w:tcPr>
            <w:tcW w:w="7626" w:type="dxa"/>
            <w:gridSpan w:val="6"/>
            <w:shd w:val="clear" w:color="auto" w:fill="F2F2F2" w:themeFill="background1" w:themeFillShade="F2"/>
            <w:vAlign w:val="center"/>
          </w:tcPr>
          <w:p w14:paraId="46E6D053" w14:textId="137D23C3" w:rsidR="001F60AA" w:rsidRPr="00015F4D" w:rsidRDefault="001F60AA" w:rsidP="001F60AA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FD2D31A" w14:textId="77777777" w:rsidR="001F60AA" w:rsidRPr="00015F4D" w:rsidRDefault="001F60AA" w:rsidP="001F60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0AA" w:rsidRPr="00015F4D" w14:paraId="6017C0D3" w14:textId="77777777" w:rsidTr="0006149F">
        <w:trPr>
          <w:trHeight w:val="1300"/>
        </w:trPr>
        <w:tc>
          <w:tcPr>
            <w:tcW w:w="7626" w:type="dxa"/>
            <w:gridSpan w:val="6"/>
            <w:shd w:val="clear" w:color="auto" w:fill="F2F2F2" w:themeFill="background1" w:themeFillShade="F2"/>
            <w:vAlign w:val="center"/>
          </w:tcPr>
          <w:p w14:paraId="0A4D5471" w14:textId="77777777" w:rsidR="001F60AA" w:rsidRPr="00015F4D" w:rsidRDefault="001F60AA" w:rsidP="001F60AA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TOTAL (EUR)</w:t>
            </w:r>
          </w:p>
          <w:p w14:paraId="53AD3B35" w14:textId="77777777" w:rsidR="001F60AA" w:rsidRPr="00015F4D" w:rsidRDefault="001F60AA" w:rsidP="001F60AA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reimbursable costs</w:t>
            </w:r>
            <w:r>
              <w:rPr>
                <w:b/>
                <w:sz w:val="20"/>
                <w:szCs w:val="20"/>
              </w:rPr>
              <w:t>+work plan budget</w:t>
            </w:r>
          </w:p>
          <w:p w14:paraId="7C447505" w14:textId="37C53706" w:rsidR="001F60AA" w:rsidRPr="00015F4D" w:rsidRDefault="001F60AA" w:rsidP="001F60AA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94A3D1F" w14:textId="77777777" w:rsidR="001F60AA" w:rsidRPr="00015F4D" w:rsidRDefault="001F60AA" w:rsidP="001F60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p w14:paraId="192A9B75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A9B78" w14:textId="77777777" w:rsidR="006608B4" w:rsidRDefault="006608B4" w:rsidP="008A22BE">
      <w:pPr>
        <w:spacing w:after="0" w:line="240" w:lineRule="auto"/>
      </w:pPr>
      <w:r>
        <w:separator/>
      </w:r>
    </w:p>
  </w:endnote>
  <w:endnote w:type="continuationSeparator" w:id="0">
    <w:p w14:paraId="192A9B79" w14:textId="77777777" w:rsidR="006608B4" w:rsidRDefault="006608B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A9B76" w14:textId="77777777" w:rsidR="006608B4" w:rsidRDefault="006608B4" w:rsidP="008A22BE">
      <w:pPr>
        <w:spacing w:after="0" w:line="240" w:lineRule="auto"/>
      </w:pPr>
      <w:r>
        <w:separator/>
      </w:r>
    </w:p>
  </w:footnote>
  <w:footnote w:type="continuationSeparator" w:id="0">
    <w:p w14:paraId="192A9B77" w14:textId="77777777" w:rsidR="006608B4" w:rsidRDefault="006608B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3F68DB2F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C83394">
      <w:rPr>
        <w:b/>
        <w:sz w:val="20"/>
      </w:rPr>
      <w:t>1</w:t>
    </w:r>
    <w:r w:rsidR="00130551">
      <w:rPr>
        <w:b/>
        <w:sz w:val="20"/>
      </w:rPr>
      <w:t>-15.2-2019-F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9D123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0551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0AA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B7D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2DBE"/>
    <w:rsid w:val="00473C56"/>
    <w:rsid w:val="004763F9"/>
    <w:rsid w:val="004765D6"/>
    <w:rsid w:val="004769DC"/>
    <w:rsid w:val="00484387"/>
    <w:rsid w:val="004855F3"/>
    <w:rsid w:val="00485D8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5E9"/>
    <w:rsid w:val="004B6521"/>
    <w:rsid w:val="004B7E9D"/>
    <w:rsid w:val="004C36A4"/>
    <w:rsid w:val="004C5569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4233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3335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B13D4"/>
    <w:rsid w:val="007B2F0F"/>
    <w:rsid w:val="007B376A"/>
    <w:rsid w:val="007B415D"/>
    <w:rsid w:val="007B4B9E"/>
    <w:rsid w:val="007B5310"/>
    <w:rsid w:val="007B55DD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35C4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6F69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37EF5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625B1"/>
    <w:rsid w:val="00C70E8F"/>
    <w:rsid w:val="00C72E09"/>
    <w:rsid w:val="00C7621E"/>
    <w:rsid w:val="00C80685"/>
    <w:rsid w:val="00C810EB"/>
    <w:rsid w:val="00C810FF"/>
    <w:rsid w:val="00C8245C"/>
    <w:rsid w:val="00C82C65"/>
    <w:rsid w:val="00C83394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92A9AEA"/>
  <w15:docId w15:val="{9A3C1670-8670-4656-913A-1CA630CD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F5720-51DF-4DA1-A7C8-1D1F9C02EC32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95F96-884F-45C6-8A90-052242B6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Maria Kasprzak</cp:lastModifiedBy>
  <cp:revision>7</cp:revision>
  <cp:lastPrinted>2017-02-10T14:49:00Z</cp:lastPrinted>
  <dcterms:created xsi:type="dcterms:W3CDTF">2019-02-12T10:53:00Z</dcterms:created>
  <dcterms:modified xsi:type="dcterms:W3CDTF">2019-02-13T13:04:00Z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