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>Add information where indicated in bold brackets at the top of the declaration. You may not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 xml:space="preserve">with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 xml:space="preserve">ereby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with regard to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that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</w:t>
      </w:r>
      <w:proofErr w:type="gramStart"/>
      <w:r w:rsidR="003003DB">
        <w:rPr>
          <w:rFonts w:cs="Arial"/>
          <w:color w:val="000000"/>
          <w:sz w:val="20"/>
          <w:szCs w:val="20"/>
        </w:rPr>
        <w:t xml:space="preserve">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</w:t>
      </w:r>
      <w:proofErr w:type="gramEnd"/>
      <w:r w:rsidR="003003DB">
        <w:rPr>
          <w:rFonts w:cs="Arial"/>
          <w:color w:val="000000"/>
          <w:sz w:val="20"/>
          <w:szCs w:val="20"/>
        </w:rPr>
        <w:t>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C234" w14:textId="77777777" w:rsidR="00587700" w:rsidRDefault="00587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EF70" w14:textId="77777777" w:rsidR="00587700" w:rsidRDefault="00587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C5A4" w14:textId="77777777" w:rsidR="00587700" w:rsidRDefault="00587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912D" w14:textId="77777777" w:rsidR="00587700" w:rsidRDefault="00587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711F6393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587700">
      <w:rPr>
        <w:b/>
        <w:sz w:val="20"/>
      </w:rPr>
      <w:t>7</w:t>
    </w:r>
    <w:bookmarkStart w:id="0" w:name="_GoBack"/>
    <w:bookmarkEnd w:id="0"/>
    <w:r w:rsidR="0099543B">
      <w:rPr>
        <w:b/>
        <w:sz w:val="20"/>
      </w:rPr>
      <w:t>-15.2-2019-R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87700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9543B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Niina Verkerk</cp:lastModifiedBy>
  <cp:revision>37</cp:revision>
  <cp:lastPrinted>2013-06-24T10:26:00Z</cp:lastPrinted>
  <dcterms:created xsi:type="dcterms:W3CDTF">2012-06-28T07:32:00Z</dcterms:created>
  <dcterms:modified xsi:type="dcterms:W3CDTF">2019-08-15T08:09:00Z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